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F0A" w:rsidRDefault="006068E0">
      <w:pPr>
        <w:spacing w:before="480" w:after="80"/>
        <w:jc w:val="center"/>
      </w:pPr>
      <w:r>
        <w:rPr>
          <w:b/>
          <w:color w:val="4A777A"/>
          <w:sz w:val="24"/>
        </w:rPr>
        <w:t>UNITED STUDENTS DEVELOPMENT NETWORK (USDN)</w:t>
      </w:r>
    </w:p>
    <w:p w:rsidR="002A5F0A" w:rsidRDefault="006068E0">
      <w:pPr>
        <w:spacing w:after="160"/>
        <w:jc w:val="center"/>
      </w:pPr>
      <w:r>
        <w:rPr>
          <w:b/>
          <w:color w:val="1B365D"/>
          <w:sz w:val="40"/>
        </w:rPr>
        <w:t>ANNUAL PERFORMANCE &amp; FI</w:t>
      </w:r>
      <w:bookmarkStart w:id="0" w:name="_GoBack"/>
      <w:bookmarkEnd w:id="0"/>
      <w:r>
        <w:rPr>
          <w:b/>
          <w:color w:val="1B365D"/>
          <w:sz w:val="40"/>
        </w:rPr>
        <w:t>NANCIAL REPORT 2025</w:t>
      </w:r>
    </w:p>
    <w:p w:rsidR="002A5F0A" w:rsidRDefault="006068E0">
      <w:pPr>
        <w:spacing w:after="360"/>
        <w:jc w:val="center"/>
      </w:pPr>
      <w:r>
        <w:rPr>
          <w:i/>
          <w:color w:val="666666"/>
          <w:sz w:val="21"/>
        </w:rPr>
        <w:t>Empowering Liberia's Youth: Education, TVET, Mentorship &amp; Narcotic Drug Prevention</w:t>
      </w:r>
      <w:r>
        <w:rPr>
          <w:i/>
          <w:color w:val="666666"/>
          <w:sz w:val="21"/>
        </w:rPr>
        <w:br/>
        <w:t>Headquarters: Methodist Compound, Congo Town Back Road, Monrovia, Liberia</w:t>
      </w:r>
    </w:p>
    <w:p w:rsidR="002A5F0A" w:rsidRDefault="002A5F0A">
      <w:pPr>
        <w:pBdr>
          <w:bottom w:val="single" w:sz="18" w:space="1" w:color="1B365D"/>
        </w:pBd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15"/>
      </w:tblGrid>
      <w:tr w:rsidR="002A5F0A">
        <w:trPr>
          <w:jc w:val="center"/>
        </w:trPr>
        <w:tc>
          <w:tcPr>
            <w:tcW w:w="9360" w:type="dxa"/>
            <w:tcBorders>
              <w:left w:val="single" w:sz="36" w:space="0" w:color="1B365D"/>
            </w:tcBorders>
            <w:shd w:val="clear" w:color="auto" w:fill="F4F6F9"/>
            <w:tcMar>
              <w:top w:w="120" w:type="dxa"/>
              <w:left w:w="180" w:type="dxa"/>
              <w:bottom w:w="120" w:type="dxa"/>
              <w:right w:w="150" w:type="dxa"/>
            </w:tcMar>
          </w:tcPr>
          <w:p w:rsidR="002A5F0A" w:rsidRDefault="006068E0">
            <w:pPr>
              <w:spacing w:after="0"/>
            </w:pPr>
            <w:r>
              <w:rPr>
                <w:b/>
                <w:color w:val="1B365D"/>
                <w:sz w:val="21"/>
              </w:rPr>
              <w:t xml:space="preserve">EXECUTIVE HIGHLIGHT: </w:t>
            </w:r>
            <w:r>
              <w:rPr>
                <w:i/>
                <w:sz w:val="21"/>
              </w:rPr>
              <w:t>Financial Snapshot 2025: Operating Budget of $400,000 USD successfully executed with a 95.8% fund utilization rate across 4 major program pillars, impacting over 3,500 students and youth across Liberia.</w:t>
            </w:r>
          </w:p>
        </w:tc>
      </w:tr>
    </w:tbl>
    <w:p w:rsidR="002A5F0A" w:rsidRDefault="002A5F0A">
      <w:pPr>
        <w:spacing w:after="80"/>
      </w:pPr>
    </w:p>
    <w:p w:rsidR="002A5F0A" w:rsidRDefault="006068E0">
      <w:pPr>
        <w:pBdr>
          <w:bottom w:val="single" w:sz="12" w:space="4" w:color="1B365D"/>
        </w:pBdr>
        <w:spacing w:before="360" w:after="160"/>
      </w:pPr>
      <w:r>
        <w:rPr>
          <w:b/>
          <w:color w:val="1B365D"/>
          <w:sz w:val="32"/>
        </w:rPr>
        <w:t>1. Executive Summary &amp; Leaders</w:t>
      </w:r>
      <w:r>
        <w:rPr>
          <w:b/>
          <w:color w:val="1B365D"/>
          <w:sz w:val="32"/>
        </w:rPr>
        <w:t>hip Statement</w:t>
      </w:r>
    </w:p>
    <w:p w:rsidR="002A5F0A" w:rsidRDefault="006068E0">
      <w:pPr>
        <w:spacing w:before="280" w:after="80"/>
      </w:pPr>
      <w:r>
        <w:rPr>
          <w:b/>
          <w:color w:val="4A777A"/>
          <w:sz w:val="26"/>
        </w:rPr>
        <w:t>1.1 Message from the Founder &amp; Executive Director</w:t>
      </w:r>
    </w:p>
    <w:p w:rsidR="002A5F0A" w:rsidRDefault="006068E0">
      <w:r>
        <w:t>In 2025, the United Students Development Network (USDN) marked another historic milestone in our journey toward building a resilient, empowered, and skilled youth population in Liberia. Establ</w:t>
      </w:r>
      <w:r>
        <w:t>ished in 2023, USDN has grown from a grassroots youth initiative into a nationally recognized non-profit organization dedicated to closing academic gaps, expanding technical and vocational education, and protecting our young people from the devastating imp</w:t>
      </w:r>
      <w:r>
        <w:t>acts of substance abuse.</w:t>
      </w:r>
    </w:p>
    <w:p w:rsidR="002A5F0A" w:rsidRDefault="006068E0">
      <w:r>
        <w:t>With an annual operating budget of $400,000 USD in 2025, supported by generous donors, institutional partners, and mobile money contributors, USDN expanded its footprint across Montserrado County and neighboring communities. Throug</w:t>
      </w:r>
      <w:r>
        <w:t>h disciplined fiscal management, robust monitoring frameworks, and the unwavering commitment of our volunteer mentors and tutors, we successfully transformed thousands of lives.</w:t>
      </w:r>
    </w:p>
    <w:p w:rsidR="002A5F0A" w:rsidRDefault="006068E0">
      <w:pPr>
        <w:spacing w:before="280" w:after="80"/>
      </w:pPr>
      <w:r>
        <w:rPr>
          <w:b/>
          <w:color w:val="4A777A"/>
          <w:sz w:val="26"/>
        </w:rPr>
        <w:t>1.2 About USDN</w:t>
      </w:r>
    </w:p>
    <w:p w:rsidR="002A5F0A" w:rsidRDefault="006068E0">
      <w:r>
        <w:t>• Mission: To empower Liberia's youth through holistic educatio</w:t>
      </w:r>
      <w:r>
        <w:t>n, mentorship, vocational skills training, and health awareness, fostering academic excellence and social responsibility.</w:t>
      </w:r>
      <w:r>
        <w:br/>
        <w:t>• Vision: A nation where every young person has equitable access to quality education, career opportunities, and a supportive, drug-fr</w:t>
      </w:r>
      <w:r>
        <w:t>ee environment to thrive.</w:t>
      </w:r>
      <w:r>
        <w:br/>
        <w:t>• Core Values: Integrity, Accountability, Inclusivity, Excellence, and Community Impact.</w:t>
      </w:r>
    </w:p>
    <w:p w:rsidR="002A5F0A" w:rsidRDefault="006068E0">
      <w:pPr>
        <w:pBdr>
          <w:bottom w:val="single" w:sz="12" w:space="4" w:color="1B365D"/>
        </w:pBdr>
        <w:spacing w:before="360" w:after="160"/>
      </w:pPr>
      <w:r>
        <w:rPr>
          <w:b/>
          <w:color w:val="1B365D"/>
          <w:sz w:val="32"/>
        </w:rPr>
        <w:t>2. Key Programmatic Achievements &amp; Performance Metrics</w:t>
      </w:r>
    </w:p>
    <w:p w:rsidR="002A5F0A" w:rsidRDefault="006068E0">
      <w:r>
        <w:lastRenderedPageBreak/>
        <w:t>In 2025, USDN structured its operations under four primary program pillars designed to</w:t>
      </w:r>
      <w:r>
        <w:t xml:space="preserve"> address the interconnected challenges facing Liberian youth: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2A5F0A">
        <w:trPr>
          <w:tblHeader/>
          <w:jc w:val="center"/>
        </w:trPr>
        <w:tc>
          <w:tcPr>
            <w:tcW w:w="23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A5F0A" w:rsidRDefault="006068E0">
            <w:pPr>
              <w:jc w:val="center"/>
            </w:pPr>
            <w:r>
              <w:rPr>
                <w:b/>
                <w:color w:val="FFFFFF"/>
                <w:sz w:val="20"/>
              </w:rPr>
              <w:t>Program Pillar</w:t>
            </w:r>
          </w:p>
        </w:tc>
        <w:tc>
          <w:tcPr>
            <w:tcW w:w="23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A5F0A" w:rsidRDefault="006068E0">
            <w:pPr>
              <w:jc w:val="center"/>
            </w:pPr>
            <w:r>
              <w:rPr>
                <w:b/>
                <w:color w:val="FFFFFF"/>
                <w:sz w:val="20"/>
              </w:rPr>
              <w:t>Key Activities &amp; Scope</w:t>
            </w:r>
          </w:p>
        </w:tc>
        <w:tc>
          <w:tcPr>
            <w:tcW w:w="23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A5F0A" w:rsidRDefault="006068E0">
            <w:pPr>
              <w:jc w:val="center"/>
            </w:pPr>
            <w:r>
              <w:rPr>
                <w:b/>
                <w:color w:val="FFFFFF"/>
                <w:sz w:val="20"/>
              </w:rPr>
              <w:t>Target Beneficiaries</w:t>
            </w:r>
          </w:p>
        </w:tc>
        <w:tc>
          <w:tcPr>
            <w:tcW w:w="23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A5F0A" w:rsidRDefault="006068E0">
            <w:pPr>
              <w:jc w:val="center"/>
            </w:pPr>
            <w:r>
              <w:rPr>
                <w:b/>
                <w:color w:val="FFFFFF"/>
                <w:sz w:val="20"/>
              </w:rPr>
              <w:t>2025 Achievements</w:t>
            </w:r>
          </w:p>
        </w:tc>
      </w:tr>
      <w:tr w:rsidR="002A5F0A">
        <w:trPr>
          <w:cantSplit/>
          <w:jc w:val="center"/>
        </w:trPr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Investing in Education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Academic tutoring, WASSCE prep, literacy programs &amp; supply distribution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High school &amp; element</w:t>
            </w:r>
            <w:r>
              <w:rPr>
                <w:sz w:val="20"/>
              </w:rPr>
              <w:t>ary students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1,250 students tutored; 88.5% WASSCE pass rate among beneficiaries</w:t>
            </w:r>
          </w:p>
        </w:tc>
      </w:tr>
      <w:tr w:rsidR="002A5F0A">
        <w:trPr>
          <w:cantSplit/>
          <w:jc w:val="center"/>
        </w:trPr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Championing Mentorship</w:t>
            </w:r>
          </w:p>
        </w:tc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Peer-to-peer coaching, leadership bootcamps, career guidance</w:t>
            </w:r>
          </w:p>
        </w:tc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Youth aged 12–24 years</w:t>
            </w:r>
          </w:p>
        </w:tc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450 active mentorship matches; 12 regional workshops conducted</w:t>
            </w:r>
          </w:p>
        </w:tc>
      </w:tr>
      <w:tr w:rsidR="002A5F0A">
        <w:trPr>
          <w:cantSplit/>
          <w:jc w:val="center"/>
        </w:trPr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Technical &amp; Vocational Training (TVET)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Computer literacy, electrical wiring, tailoring, small business management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Unemployed &amp; out-of-school youth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620 youth enrolled; 510 certified graduates with starter kits</w:t>
            </w:r>
          </w:p>
        </w:tc>
      </w:tr>
      <w:tr w:rsidR="002A5F0A">
        <w:trPr>
          <w:cantSplit/>
          <w:jc w:val="center"/>
        </w:trPr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Narcotic Drug Prevention &amp; Psychosocial Suppor</w:t>
            </w:r>
            <w:r>
              <w:rPr>
                <w:sz w:val="20"/>
              </w:rPr>
              <w:t>t</w:t>
            </w:r>
          </w:p>
        </w:tc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Community awareness rallies, school outreach, confidential counseling</w:t>
            </w:r>
          </w:p>
        </w:tc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Vulnerable urban youth &amp; students</w:t>
            </w:r>
          </w:p>
        </w:tc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1,800 youth reached; 140 receiving ongoing psychosocial counseling</w:t>
            </w:r>
          </w:p>
        </w:tc>
      </w:tr>
    </w:tbl>
    <w:p w:rsidR="002A5F0A" w:rsidRDefault="006068E0">
      <w:pPr>
        <w:pBdr>
          <w:bottom w:val="single" w:sz="12" w:space="4" w:color="1B365D"/>
        </w:pBdr>
        <w:spacing w:before="360" w:after="160"/>
      </w:pPr>
      <w:r>
        <w:rPr>
          <w:b/>
          <w:color w:val="1B365D"/>
          <w:sz w:val="32"/>
        </w:rPr>
        <w:t>3. Financial Report &amp; Budget Execution ($400,000 USD)</w:t>
      </w:r>
    </w:p>
    <w:p w:rsidR="002A5F0A" w:rsidRDefault="006068E0">
      <w:r>
        <w:t xml:space="preserve">USDN maintains rigorous </w:t>
      </w:r>
      <w:r>
        <w:t>financial oversight, transparency, and internal control systems. For the fiscal year ending December 31, 2025, USDN operated on a total budget of $400,000 USD. Funding was secured through institutional grants, corporate social responsibility (CSR) sponsors</w:t>
      </w:r>
      <w:r>
        <w:t>hips, community donations, and mobile money giving.</w:t>
      </w:r>
    </w:p>
    <w:p w:rsidR="002A5F0A" w:rsidRDefault="006068E0">
      <w:pPr>
        <w:spacing w:before="280" w:after="80"/>
      </w:pPr>
      <w:r>
        <w:rPr>
          <w:b/>
          <w:color w:val="4A777A"/>
          <w:sz w:val="26"/>
        </w:rPr>
        <w:t>3.1 Revenue Breakdown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2A5F0A">
        <w:trPr>
          <w:tblHeader/>
          <w:jc w:val="center"/>
        </w:trPr>
        <w:tc>
          <w:tcPr>
            <w:tcW w:w="23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A5F0A" w:rsidRDefault="006068E0">
            <w:pPr>
              <w:jc w:val="center"/>
            </w:pPr>
            <w:r>
              <w:rPr>
                <w:b/>
                <w:color w:val="FFFFFF"/>
                <w:sz w:val="20"/>
              </w:rPr>
              <w:t>Funding Source</w:t>
            </w:r>
          </w:p>
        </w:tc>
        <w:tc>
          <w:tcPr>
            <w:tcW w:w="23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A5F0A" w:rsidRDefault="006068E0">
            <w:pPr>
              <w:jc w:val="center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w="23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A5F0A" w:rsidRDefault="006068E0">
            <w:pPr>
              <w:jc w:val="center"/>
            </w:pPr>
            <w:r>
              <w:rPr>
                <w:b/>
                <w:color w:val="FFFFFF"/>
                <w:sz w:val="20"/>
              </w:rPr>
              <w:t>Amount (USD)</w:t>
            </w:r>
          </w:p>
        </w:tc>
        <w:tc>
          <w:tcPr>
            <w:tcW w:w="23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A5F0A" w:rsidRDefault="006068E0">
            <w:pPr>
              <w:jc w:val="center"/>
            </w:pPr>
            <w:r>
              <w:rPr>
                <w:b/>
                <w:color w:val="FFFFFF"/>
                <w:sz w:val="20"/>
              </w:rPr>
              <w:t>Percentage (%)</w:t>
            </w:r>
          </w:p>
        </w:tc>
      </w:tr>
      <w:tr w:rsidR="002A5F0A">
        <w:trPr>
          <w:cantSplit/>
          <w:jc w:val="center"/>
        </w:trPr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Institutional &amp; Partner Grants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International &amp; domestic development partner grants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$220,000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55.0%</w:t>
            </w:r>
          </w:p>
        </w:tc>
      </w:tr>
      <w:tr w:rsidR="002A5F0A">
        <w:trPr>
          <w:cantSplit/>
          <w:jc w:val="center"/>
        </w:trPr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Corporate CSR Sponsorships</w:t>
            </w:r>
          </w:p>
        </w:tc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Private sector and telecom partnership contributions</w:t>
            </w:r>
          </w:p>
        </w:tc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$95,000</w:t>
            </w:r>
          </w:p>
        </w:tc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23.8%</w:t>
            </w:r>
          </w:p>
        </w:tc>
      </w:tr>
      <w:tr w:rsidR="002A5F0A">
        <w:trPr>
          <w:cantSplit/>
          <w:jc w:val="center"/>
        </w:trPr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lastRenderedPageBreak/>
              <w:t>Community &amp; Individual Donors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Philanthropic contributions and executive giving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$55,000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13.8%</w:t>
            </w:r>
          </w:p>
        </w:tc>
      </w:tr>
      <w:tr w:rsidR="002A5F0A">
        <w:trPr>
          <w:cantSplit/>
          <w:jc w:val="center"/>
        </w:trPr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Mobile Money &amp; Orange Money</w:t>
            </w:r>
          </w:p>
        </w:tc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Public digital fundraising (MTN MoMo &amp; Orange Money)</w:t>
            </w:r>
          </w:p>
        </w:tc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$30,000</w:t>
            </w:r>
          </w:p>
        </w:tc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7.4%</w:t>
            </w:r>
          </w:p>
        </w:tc>
      </w:tr>
      <w:tr w:rsidR="002A5F0A">
        <w:trPr>
          <w:cantSplit/>
          <w:jc w:val="center"/>
        </w:trPr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Total Revenue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Fiscal Year 2025 Total Funding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$400,000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100.0%</w:t>
            </w:r>
          </w:p>
        </w:tc>
      </w:tr>
    </w:tbl>
    <w:p w:rsidR="002A5F0A" w:rsidRDefault="006068E0">
      <w:pPr>
        <w:spacing w:before="280" w:after="80"/>
      </w:pPr>
      <w:r>
        <w:rPr>
          <w:b/>
          <w:color w:val="4A777A"/>
          <w:sz w:val="26"/>
        </w:rPr>
        <w:t>3.2 Expenditure Breakdown by Program Allocation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2A5F0A">
        <w:trPr>
          <w:tblHeader/>
          <w:jc w:val="center"/>
        </w:trPr>
        <w:tc>
          <w:tcPr>
            <w:tcW w:w="23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A5F0A" w:rsidRDefault="006068E0">
            <w:pPr>
              <w:jc w:val="center"/>
            </w:pPr>
            <w:r>
              <w:rPr>
                <w:b/>
                <w:color w:val="FFFFFF"/>
                <w:sz w:val="20"/>
              </w:rPr>
              <w:t>Budget Category</w:t>
            </w:r>
          </w:p>
        </w:tc>
        <w:tc>
          <w:tcPr>
            <w:tcW w:w="23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A5F0A" w:rsidRDefault="006068E0">
            <w:pPr>
              <w:jc w:val="center"/>
            </w:pPr>
            <w:r>
              <w:rPr>
                <w:b/>
                <w:color w:val="FFFFFF"/>
                <w:sz w:val="20"/>
              </w:rPr>
              <w:t>Approved Budget</w:t>
            </w:r>
          </w:p>
        </w:tc>
        <w:tc>
          <w:tcPr>
            <w:tcW w:w="23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A5F0A" w:rsidRDefault="006068E0">
            <w:pPr>
              <w:jc w:val="center"/>
            </w:pPr>
            <w:r>
              <w:rPr>
                <w:b/>
                <w:color w:val="FFFFFF"/>
                <w:sz w:val="20"/>
              </w:rPr>
              <w:t>Actual Expenditure</w:t>
            </w:r>
          </w:p>
        </w:tc>
        <w:tc>
          <w:tcPr>
            <w:tcW w:w="23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A5F0A" w:rsidRDefault="006068E0">
            <w:pPr>
              <w:jc w:val="center"/>
            </w:pPr>
            <w:r>
              <w:rPr>
                <w:b/>
                <w:color w:val="FFFFFF"/>
                <w:sz w:val="20"/>
              </w:rPr>
              <w:t>Variance / Execution Rate</w:t>
            </w:r>
          </w:p>
        </w:tc>
      </w:tr>
      <w:tr w:rsidR="002A5F0A">
        <w:trPr>
          <w:cantSplit/>
          <w:jc w:val="center"/>
        </w:trPr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Investing in Education &amp; Academic Tutoring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$110,000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$106,400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 xml:space="preserve">96.7% </w:t>
            </w:r>
            <w:r>
              <w:rPr>
                <w:sz w:val="20"/>
              </w:rPr>
              <w:t>executed</w:t>
            </w:r>
          </w:p>
        </w:tc>
      </w:tr>
      <w:tr w:rsidR="002A5F0A">
        <w:trPr>
          <w:cantSplit/>
          <w:jc w:val="center"/>
        </w:trPr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TVET &amp; Skill Acquisition Centers</w:t>
            </w:r>
          </w:p>
        </w:tc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$120,000</w:t>
            </w:r>
          </w:p>
        </w:tc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$117,200</w:t>
            </w:r>
          </w:p>
        </w:tc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97.7% executed</w:t>
            </w:r>
          </w:p>
        </w:tc>
      </w:tr>
      <w:tr w:rsidR="002A5F0A">
        <w:trPr>
          <w:cantSplit/>
          <w:jc w:val="center"/>
        </w:trPr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Narcotic Drug Prevention &amp; Counseling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$70,000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$66,800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95.4% executed</w:t>
            </w:r>
          </w:p>
        </w:tc>
      </w:tr>
      <w:tr w:rsidR="002A5F0A">
        <w:trPr>
          <w:cantSplit/>
          <w:jc w:val="center"/>
        </w:trPr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Championing Mentorship &amp; Youth Leadership</w:t>
            </w:r>
          </w:p>
        </w:tc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$45,000</w:t>
            </w:r>
          </w:p>
        </w:tc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$43,100</w:t>
            </w:r>
          </w:p>
        </w:tc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95.8% executed</w:t>
            </w:r>
          </w:p>
        </w:tc>
      </w:tr>
      <w:tr w:rsidR="002A5F0A">
        <w:trPr>
          <w:cantSplit/>
          <w:jc w:val="center"/>
        </w:trPr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 xml:space="preserve">Administrative, Logistics &amp; </w:t>
            </w:r>
            <w:r>
              <w:rPr>
                <w:sz w:val="20"/>
              </w:rPr>
              <w:t>Operations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$40,000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$38,500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96.3% executed</w:t>
            </w:r>
          </w:p>
        </w:tc>
      </w:tr>
      <w:tr w:rsidR="002A5F0A">
        <w:trPr>
          <w:cantSplit/>
          <w:jc w:val="center"/>
        </w:trPr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Monitoring, Evaluation &amp; Audit</w:t>
            </w:r>
          </w:p>
        </w:tc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$15,000</w:t>
            </w:r>
          </w:p>
        </w:tc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$11,200</w:t>
            </w:r>
          </w:p>
        </w:tc>
        <w:tc>
          <w:tcPr>
            <w:tcW w:w="2340" w:type="dxa"/>
            <w:shd w:val="clear" w:color="auto" w:fill="F4F6F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74.7% executed</w:t>
            </w:r>
          </w:p>
        </w:tc>
      </w:tr>
      <w:tr w:rsidR="002A5F0A">
        <w:trPr>
          <w:cantSplit/>
          <w:jc w:val="center"/>
        </w:trPr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Total Operating Expenses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$400,000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$383,200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A5F0A" w:rsidRDefault="006068E0">
            <w:pPr>
              <w:spacing w:after="40"/>
            </w:pPr>
            <w:r>
              <w:rPr>
                <w:sz w:val="20"/>
              </w:rPr>
              <w:t>95.8% Overall Execution</w:t>
            </w:r>
          </w:p>
        </w:tc>
      </w:tr>
    </w:tbl>
    <w:p w:rsidR="002A5F0A" w:rsidRDefault="006068E0">
      <w:pPr>
        <w:pBdr>
          <w:bottom w:val="single" w:sz="12" w:space="4" w:color="1B365D"/>
        </w:pBdr>
        <w:spacing w:before="360" w:after="160"/>
      </w:pPr>
      <w:r>
        <w:rPr>
          <w:b/>
          <w:color w:val="1B365D"/>
          <w:sz w:val="32"/>
        </w:rPr>
        <w:t>4. Operational Challenges &amp; Strategic Mitigation</w:t>
      </w:r>
    </w:p>
    <w:p w:rsidR="002A5F0A" w:rsidRDefault="006068E0">
      <w:r>
        <w:t xml:space="preserve">While 2025 delivered remarkable </w:t>
      </w:r>
      <w:r>
        <w:t>achievements, USDN navigated several operational challenges:</w:t>
      </w:r>
      <w:r>
        <w:br/>
        <w:t xml:space="preserve">1. High Demand vs. Facility Capacity: Demand for TVET programs in Congo Town and surrounding areas </w:t>
      </w:r>
      <w:r>
        <w:lastRenderedPageBreak/>
        <w:t>exceeded available workshop equipment and seats. Mitigation: Implemented shift-based training sc</w:t>
      </w:r>
      <w:r>
        <w:t>hedules to maximize equipment usage.</w:t>
      </w:r>
      <w:r>
        <w:br/>
        <w:t>2. Pervasive Drug Stigma: Victims of substance abuse initially resisted center-based counseling due to community fear. Mitigation: Expanded field-based mobile counseling teams and confidential street outreach.</w:t>
      </w:r>
      <w:r>
        <w:br/>
        <w:t>3. Transp</w:t>
      </w:r>
      <w:r>
        <w:t>ortation &amp; Logistics: Transportation costs for volunteer mentors traveling to remote communities posed financial burdens. Mitigation: Allocated stipend subsidies within the revised Q3 operating budget.</w:t>
      </w:r>
    </w:p>
    <w:p w:rsidR="002A5F0A" w:rsidRDefault="006068E0">
      <w:pPr>
        <w:pBdr>
          <w:bottom w:val="single" w:sz="12" w:space="4" w:color="1B365D"/>
        </w:pBdr>
        <w:spacing w:before="360" w:after="160"/>
      </w:pPr>
      <w:r>
        <w:rPr>
          <w:b/>
          <w:color w:val="1B365D"/>
          <w:sz w:val="32"/>
        </w:rPr>
        <w:t>5. Strategic Outlook &amp; 2026 Expansion Plan</w:t>
      </w:r>
    </w:p>
    <w:p w:rsidR="002A5F0A" w:rsidRDefault="006068E0">
      <w:r>
        <w:t>Building on</w:t>
      </w:r>
      <w:r>
        <w:t xml:space="preserve"> the success of 2025, USDN has outlined clear priorities for 2026:</w:t>
      </w:r>
      <w:r>
        <w:br/>
        <w:t>• Regional Expansion: Extend mentorship and drug awareness programs beyond Montserrado County into Grand Bassa and Margibi counties.</w:t>
      </w:r>
      <w:r>
        <w:br/>
        <w:t xml:space="preserve">• TVET Innovation Center: Establish an upgraded digital </w:t>
      </w:r>
      <w:r>
        <w:t>skills lab featuring basic coding, graphics, and mobile phone repair.</w:t>
      </w:r>
      <w:r>
        <w:br/>
        <w:t>• Sustainable Funding: Scale up digital mobile money giving and establish long-term institutional partnerships.</w:t>
      </w:r>
    </w:p>
    <w:p w:rsidR="002A5F0A" w:rsidRDefault="006068E0">
      <w:pPr>
        <w:pBdr>
          <w:bottom w:val="single" w:sz="12" w:space="4" w:color="1B365D"/>
        </w:pBdr>
        <w:spacing w:before="360" w:after="160"/>
      </w:pPr>
      <w:r>
        <w:rPr>
          <w:b/>
          <w:color w:val="1B365D"/>
          <w:sz w:val="32"/>
        </w:rPr>
        <w:t>6. Ways to Partner &amp; Support USDN</w:t>
      </w:r>
    </w:p>
    <w:p w:rsidR="002A5F0A" w:rsidRDefault="006068E0">
      <w:r>
        <w:t>USDN welcomes individuals, corporate bod</w:t>
      </w:r>
      <w:r>
        <w:t>ies, and international organizations to join this transformative journey. Contributions directly fund student scholarships, vocational starter kits, and drug prevention outreach.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2A5F0A">
        <w:trPr>
          <w:jc w:val="center"/>
        </w:trPr>
        <w:tc>
          <w:tcPr>
            <w:tcW w:w="9360" w:type="dxa"/>
            <w:tcBorders>
              <w:left w:val="single" w:sz="36" w:space="0" w:color="1B365D"/>
            </w:tcBorders>
            <w:shd w:val="clear" w:color="auto" w:fill="F4F6F9"/>
            <w:tcMar>
              <w:top w:w="120" w:type="dxa"/>
              <w:left w:w="180" w:type="dxa"/>
              <w:bottom w:w="120" w:type="dxa"/>
              <w:right w:w="150" w:type="dxa"/>
            </w:tcMar>
          </w:tcPr>
          <w:p w:rsidR="002A5F0A" w:rsidRDefault="006068E0">
            <w:pPr>
              <w:spacing w:after="0"/>
            </w:pPr>
            <w:r>
              <w:rPr>
                <w:b/>
                <w:color w:val="1B365D"/>
                <w:sz w:val="21"/>
              </w:rPr>
              <w:t xml:space="preserve">DONATION &amp; PARTNERSHIP CHANNELS: </w:t>
            </w:r>
            <w:r>
              <w:rPr>
                <w:i/>
                <w:sz w:val="21"/>
              </w:rPr>
              <w:t>Official Mobile Giving Channels:</w:t>
            </w:r>
            <w:r>
              <w:rPr>
                <w:i/>
                <w:sz w:val="21"/>
              </w:rPr>
              <w:br/>
              <w:t xml:space="preserve">• Lonestar </w:t>
            </w:r>
            <w:r>
              <w:rPr>
                <w:i/>
                <w:sz w:val="21"/>
              </w:rPr>
              <w:t>Cell MTN Mobile Money: 0760591331</w:t>
            </w:r>
            <w:r>
              <w:rPr>
                <w:i/>
                <w:sz w:val="21"/>
              </w:rPr>
              <w:br/>
              <w:t>• Orange Money Liberia: 0886859315</w:t>
            </w:r>
            <w:r>
              <w:rPr>
                <w:i/>
                <w:sz w:val="21"/>
              </w:rPr>
              <w:br/>
            </w:r>
            <w:r>
              <w:rPr>
                <w:i/>
                <w:sz w:val="21"/>
              </w:rPr>
              <w:br/>
              <w:t>Headquarters: Methodist Compound, Congo Town Back Road, Monrovia, Liberia</w:t>
            </w:r>
            <w:r>
              <w:rPr>
                <w:i/>
                <w:sz w:val="21"/>
              </w:rPr>
              <w:br/>
              <w:t>Website / Contact Platform: www.kemoonenterprise.org / USDN Portal</w:t>
            </w:r>
          </w:p>
        </w:tc>
      </w:tr>
    </w:tbl>
    <w:p w:rsidR="002A5F0A" w:rsidRDefault="002A5F0A">
      <w:pPr>
        <w:spacing w:after="80"/>
      </w:pPr>
    </w:p>
    <w:sectPr w:rsidR="002A5F0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A5F0A"/>
    <w:rsid w:val="00326F90"/>
    <w:rsid w:val="006068E0"/>
    <w:rsid w:val="00A651E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E7265C80-F890-458A-BBF8-F6ED6AA16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FCF8F4-D5AB-4BC0-95D2-A45D7F00E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944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sarah</cp:lastModifiedBy>
  <cp:revision>2</cp:revision>
  <dcterms:created xsi:type="dcterms:W3CDTF">2026-11-01T20:33:00Z</dcterms:created>
  <dcterms:modified xsi:type="dcterms:W3CDTF">2026-11-01T20:33:00Z</dcterms:modified>
  <cp:category/>
</cp:coreProperties>
</file>